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20" w:rsidRPr="00092A20" w:rsidRDefault="00092A20" w:rsidP="00092A20">
      <w:pPr>
        <w:pStyle w:val="NormalWeb"/>
        <w:shd w:val="clear" w:color="auto" w:fill="FFFFFF"/>
        <w:spacing w:before="0" w:beforeAutospacing="0" w:after="420" w:afterAutospacing="0"/>
        <w:jc w:val="center"/>
        <w:rPr>
          <w:rFonts w:ascii="Arial" w:hAnsi="Arial" w:cs="Aharoni"/>
          <w:b/>
          <w:color w:val="333333"/>
          <w:sz w:val="56"/>
          <w:szCs w:val="56"/>
        </w:rPr>
      </w:pPr>
      <w:r w:rsidRPr="00092A20">
        <w:rPr>
          <w:rFonts w:ascii="Arial" w:hAnsi="Arial" w:cs="Aharoni"/>
          <w:b/>
          <w:color w:val="333333"/>
          <w:sz w:val="56"/>
          <w:szCs w:val="56"/>
        </w:rPr>
        <w:t>15</w:t>
      </w:r>
      <w:r w:rsidRPr="00092A20">
        <w:rPr>
          <w:rFonts w:ascii="Arial" w:hAnsi="Arial" w:cs="Aharoni"/>
          <w:b/>
          <w:color w:val="333333"/>
          <w:sz w:val="56"/>
          <w:szCs w:val="56"/>
          <w:vertAlign w:val="superscript"/>
        </w:rPr>
        <w:t>th</w:t>
      </w:r>
      <w:r w:rsidRPr="00092A20">
        <w:rPr>
          <w:rFonts w:ascii="Arial" w:hAnsi="Arial" w:cs="Aharoni"/>
          <w:b/>
          <w:color w:val="333333"/>
          <w:sz w:val="56"/>
          <w:szCs w:val="56"/>
        </w:rPr>
        <w:t xml:space="preserve"> FINANCE COMMISSION</w:t>
      </w:r>
    </w:p>
    <w:p w:rsidR="00F7742F" w:rsidRDefault="00F7742F" w:rsidP="00F7742F">
      <w:pPr>
        <w:pStyle w:val="NormalWeb"/>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The Finance Commission (FC) is constituted by the President of India every fifth year under Article 280 of the Constitution.</w:t>
      </w:r>
    </w:p>
    <w:p w:rsidR="00F7742F" w:rsidRDefault="00F7742F" w:rsidP="00F7742F">
      <w:pPr>
        <w:pStyle w:val="NormalWeb"/>
        <w:shd w:val="clear" w:color="auto" w:fill="FFFFFF"/>
        <w:spacing w:before="0" w:beforeAutospacing="0" w:after="420" w:afterAutospacing="0"/>
        <w:rPr>
          <w:rFonts w:ascii="Arial" w:hAnsi="Arial" w:cs="Arial"/>
          <w:color w:val="333333"/>
          <w:sz w:val="27"/>
          <w:szCs w:val="27"/>
          <w:shd w:val="clear" w:color="auto" w:fill="FFFFFF"/>
        </w:rPr>
      </w:pPr>
      <w:r>
        <w:rPr>
          <w:rFonts w:ascii="Arial" w:hAnsi="Arial" w:cs="Arial"/>
          <w:color w:val="333333"/>
          <w:sz w:val="27"/>
          <w:szCs w:val="27"/>
          <w:shd w:val="clear" w:color="auto" w:fill="FFFFFF"/>
        </w:rPr>
        <w:t>The 15th Finance Commission was constituted by the President of India in November 2017, under the chairmanship of NK Singh. Its recommendations will cover a period of five years from April 2020 to March 2025</w:t>
      </w:r>
    </w:p>
    <w:p w:rsidR="00F7742F" w:rsidRPr="00F7742F" w:rsidRDefault="00F7742F" w:rsidP="00F7742F">
      <w:pPr>
        <w:shd w:val="clear" w:color="auto" w:fill="FFFFFF"/>
        <w:spacing w:before="450" w:after="150" w:line="240" w:lineRule="auto"/>
        <w:outlineLvl w:val="1"/>
        <w:rPr>
          <w:rFonts w:ascii="Arial" w:eastAsia="Times New Roman" w:hAnsi="Arial" w:cs="Arial"/>
          <w:b/>
          <w:bCs/>
          <w:color w:val="333333"/>
          <w:sz w:val="36"/>
          <w:szCs w:val="36"/>
          <w:lang w:eastAsia="en-GB"/>
        </w:rPr>
      </w:pPr>
      <w:r w:rsidRPr="00F7742F">
        <w:rPr>
          <w:rFonts w:ascii="Arial" w:eastAsia="Times New Roman" w:hAnsi="Arial" w:cs="Arial"/>
          <w:b/>
          <w:bCs/>
          <w:color w:val="333333"/>
          <w:sz w:val="36"/>
          <w:szCs w:val="36"/>
          <w:lang w:eastAsia="en-GB"/>
        </w:rPr>
        <w:t>Recommendations of the 15th Finance Commission</w:t>
      </w:r>
    </w:p>
    <w:p w:rsidR="00F7742F" w:rsidRPr="00F7742F" w:rsidRDefault="00F7742F" w:rsidP="00F7742F">
      <w:pPr>
        <w:shd w:val="clear" w:color="auto" w:fill="FFFFFF"/>
        <w:spacing w:before="450" w:after="150" w:line="240" w:lineRule="auto"/>
        <w:outlineLvl w:val="2"/>
        <w:rPr>
          <w:rFonts w:ascii="Arial" w:eastAsia="Times New Roman" w:hAnsi="Arial" w:cs="Arial"/>
          <w:b/>
          <w:bCs/>
          <w:color w:val="333333"/>
          <w:sz w:val="27"/>
          <w:szCs w:val="27"/>
          <w:lang w:eastAsia="en-GB"/>
        </w:rPr>
      </w:pPr>
      <w:r w:rsidRPr="00F7742F">
        <w:rPr>
          <w:rFonts w:ascii="Arial" w:eastAsia="Times New Roman" w:hAnsi="Arial" w:cs="Arial"/>
          <w:b/>
          <w:bCs/>
          <w:color w:val="333333"/>
          <w:sz w:val="27"/>
          <w:szCs w:val="27"/>
          <w:lang w:eastAsia="en-GB"/>
        </w:rPr>
        <w:t>Vertical Devolution</w:t>
      </w:r>
    </w:p>
    <w:p w:rsidR="00F7742F" w:rsidRPr="00F7742F" w:rsidRDefault="00F7742F" w:rsidP="00F7742F">
      <w:pPr>
        <w:shd w:val="clear" w:color="auto" w:fill="FFFFFF"/>
        <w:spacing w:after="420" w:line="240" w:lineRule="auto"/>
        <w:rPr>
          <w:rFonts w:ascii="Arial" w:eastAsia="Times New Roman" w:hAnsi="Arial" w:cs="Arial"/>
          <w:color w:val="333333"/>
          <w:sz w:val="27"/>
          <w:szCs w:val="27"/>
          <w:lang w:eastAsia="en-GB"/>
        </w:rPr>
      </w:pPr>
      <w:r w:rsidRPr="00F7742F">
        <w:rPr>
          <w:rFonts w:ascii="Arial" w:eastAsia="Times New Roman" w:hAnsi="Arial" w:cs="Arial"/>
          <w:b/>
          <w:bCs/>
          <w:color w:val="333333"/>
          <w:sz w:val="27"/>
          <w:szCs w:val="27"/>
          <w:lang w:eastAsia="en-GB"/>
        </w:rPr>
        <w:t>41% of the divisible pool</w:t>
      </w:r>
      <w:r w:rsidRPr="00F7742F">
        <w:rPr>
          <w:rFonts w:ascii="Arial" w:eastAsia="Times New Roman" w:hAnsi="Arial" w:cs="Arial"/>
          <w:color w:val="333333"/>
          <w:sz w:val="27"/>
          <w:szCs w:val="27"/>
          <w:lang w:eastAsia="en-GB"/>
        </w:rPr>
        <w:t> to be devolved to the States in the year 2020-21.</w:t>
      </w:r>
    </w:p>
    <w:p w:rsidR="00F7742F" w:rsidRPr="00F7742F" w:rsidRDefault="00F7742F" w:rsidP="00F7742F">
      <w:pPr>
        <w:shd w:val="clear" w:color="auto" w:fill="FFFFFF"/>
        <w:spacing w:after="420" w:line="240" w:lineRule="auto"/>
        <w:rPr>
          <w:rFonts w:ascii="Arial" w:eastAsia="Times New Roman" w:hAnsi="Arial" w:cs="Arial"/>
          <w:color w:val="333333"/>
          <w:sz w:val="27"/>
          <w:szCs w:val="27"/>
          <w:lang w:eastAsia="en-GB"/>
        </w:rPr>
      </w:pPr>
      <w:r w:rsidRPr="00F7742F">
        <w:rPr>
          <w:rFonts w:ascii="Arial" w:eastAsia="Times New Roman" w:hAnsi="Arial" w:cs="Arial"/>
          <w:color w:val="333333"/>
          <w:sz w:val="27"/>
          <w:szCs w:val="27"/>
          <w:lang w:eastAsia="en-GB"/>
        </w:rPr>
        <w:t>FC-XIV which had recommended 42%, had a view that tax devolution should be the primary route of transfer of resources to States as they are a more objective form of transfer of resources as compared to other forms. The </w:t>
      </w:r>
      <w:r w:rsidRPr="00F7742F">
        <w:rPr>
          <w:rFonts w:ascii="Arial" w:eastAsia="Times New Roman" w:hAnsi="Arial" w:cs="Arial"/>
          <w:color w:val="E60000"/>
          <w:sz w:val="27"/>
          <w:szCs w:val="27"/>
          <w:u w:val="single"/>
          <w:lang w:eastAsia="en-GB"/>
        </w:rPr>
        <w:t>XV-FC</w:t>
      </w:r>
      <w:r w:rsidRPr="00F7742F">
        <w:rPr>
          <w:rFonts w:ascii="Arial" w:eastAsia="Times New Roman" w:hAnsi="Arial" w:cs="Arial"/>
          <w:color w:val="333333"/>
          <w:sz w:val="27"/>
          <w:szCs w:val="27"/>
          <w:lang w:eastAsia="en-GB"/>
        </w:rPr>
        <w:t> also agrees with this view but reduced the States’ share to 41% because of the </w:t>
      </w:r>
      <w:r w:rsidRPr="00F7742F">
        <w:rPr>
          <w:rFonts w:ascii="Arial" w:eastAsia="Times New Roman" w:hAnsi="Arial" w:cs="Arial"/>
          <w:color w:val="E60000"/>
          <w:sz w:val="27"/>
          <w:szCs w:val="27"/>
          <w:u w:val="single"/>
          <w:lang w:eastAsia="en-GB"/>
        </w:rPr>
        <w:t>re-organization of the State of Jammu &amp; Kashmir</w:t>
      </w:r>
      <w:r w:rsidRPr="00F7742F">
        <w:rPr>
          <w:rFonts w:ascii="Arial" w:eastAsia="Times New Roman" w:hAnsi="Arial" w:cs="Arial"/>
          <w:color w:val="333333"/>
          <w:sz w:val="27"/>
          <w:szCs w:val="27"/>
          <w:lang w:eastAsia="en-GB"/>
        </w:rPr>
        <w:t xml:space="preserve"> into UTs of </w:t>
      </w:r>
      <w:proofErr w:type="spellStart"/>
      <w:r w:rsidRPr="00F7742F">
        <w:rPr>
          <w:rFonts w:ascii="Arial" w:eastAsia="Times New Roman" w:hAnsi="Arial" w:cs="Arial"/>
          <w:color w:val="333333"/>
          <w:sz w:val="27"/>
          <w:szCs w:val="27"/>
          <w:lang w:eastAsia="en-GB"/>
        </w:rPr>
        <w:t>Ladakh</w:t>
      </w:r>
      <w:proofErr w:type="spellEnd"/>
      <w:r w:rsidRPr="00F7742F">
        <w:rPr>
          <w:rFonts w:ascii="Arial" w:eastAsia="Times New Roman" w:hAnsi="Arial" w:cs="Arial"/>
          <w:color w:val="333333"/>
          <w:sz w:val="27"/>
          <w:szCs w:val="27"/>
          <w:lang w:eastAsia="en-GB"/>
        </w:rPr>
        <w:t xml:space="preserve"> and Jammu &amp; Kashmir through</w:t>
      </w:r>
      <w:bookmarkStart w:id="0" w:name="_GoBack"/>
      <w:bookmarkEnd w:id="0"/>
      <w:r w:rsidRPr="00F7742F">
        <w:rPr>
          <w:rFonts w:ascii="Arial" w:eastAsia="Times New Roman" w:hAnsi="Arial" w:cs="Arial"/>
          <w:color w:val="333333"/>
          <w:sz w:val="27"/>
          <w:szCs w:val="27"/>
          <w:lang w:eastAsia="en-GB"/>
        </w:rPr>
        <w:t xml:space="preserve"> the Jammu &amp; Kashmir Re-organization Act, 2019.</w:t>
      </w:r>
    </w:p>
    <w:p w:rsidR="00F7742F" w:rsidRPr="00F7742F" w:rsidRDefault="00F7742F" w:rsidP="00F7742F">
      <w:pPr>
        <w:shd w:val="clear" w:color="auto" w:fill="FFFFFF"/>
        <w:spacing w:before="450" w:after="150" w:line="240" w:lineRule="auto"/>
        <w:outlineLvl w:val="2"/>
        <w:rPr>
          <w:rFonts w:ascii="Arial" w:eastAsia="Times New Roman" w:hAnsi="Arial" w:cs="Arial"/>
          <w:b/>
          <w:bCs/>
          <w:color w:val="333333"/>
          <w:sz w:val="27"/>
          <w:szCs w:val="27"/>
          <w:lang w:eastAsia="en-GB"/>
        </w:rPr>
      </w:pPr>
      <w:r w:rsidRPr="00F7742F">
        <w:rPr>
          <w:rFonts w:ascii="Arial" w:eastAsia="Times New Roman" w:hAnsi="Arial" w:cs="Arial"/>
          <w:b/>
          <w:bCs/>
          <w:color w:val="333333"/>
          <w:sz w:val="27"/>
          <w:szCs w:val="27"/>
          <w:lang w:eastAsia="en-GB"/>
        </w:rPr>
        <w:t>Horizontal Devolution</w:t>
      </w:r>
    </w:p>
    <w:p w:rsidR="00F7742F" w:rsidRPr="00F7742F" w:rsidRDefault="00F7742F" w:rsidP="00F7742F">
      <w:pPr>
        <w:shd w:val="clear" w:color="auto" w:fill="FFFFFF"/>
        <w:spacing w:after="420" w:line="240" w:lineRule="auto"/>
        <w:rPr>
          <w:rFonts w:ascii="Arial" w:eastAsia="Times New Roman" w:hAnsi="Arial" w:cs="Arial"/>
          <w:color w:val="333333"/>
          <w:sz w:val="27"/>
          <w:szCs w:val="27"/>
          <w:lang w:eastAsia="en-GB"/>
        </w:rPr>
      </w:pPr>
      <w:r w:rsidRPr="00F7742F">
        <w:rPr>
          <w:rFonts w:ascii="Arial" w:eastAsia="Times New Roman" w:hAnsi="Arial" w:cs="Arial"/>
          <w:color w:val="333333"/>
          <w:sz w:val="27"/>
          <w:szCs w:val="27"/>
          <w:lang w:eastAsia="en-GB"/>
        </w:rPr>
        <w:t>Horizontal devolution is done primarily to enable the States to provide basic public goods and services with equivalent tax effort. The various criteria to be considered for horizontal devolution are classified into three broad groups as follows.</w:t>
      </w:r>
    </w:p>
    <w:p w:rsidR="00F7742F" w:rsidRPr="00F7742F" w:rsidRDefault="00F7742F" w:rsidP="00F7742F">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F7742F">
        <w:rPr>
          <w:rFonts w:ascii="Arial" w:eastAsia="Times New Roman" w:hAnsi="Arial" w:cs="Arial"/>
          <w:b/>
          <w:bCs/>
          <w:color w:val="333333"/>
          <w:sz w:val="27"/>
          <w:szCs w:val="27"/>
          <w:lang w:eastAsia="en-GB"/>
        </w:rPr>
        <w:t>Need-based criteria</w:t>
      </w:r>
      <w:r w:rsidRPr="00F7742F">
        <w:rPr>
          <w:rFonts w:ascii="Arial" w:eastAsia="Times New Roman" w:hAnsi="Arial" w:cs="Arial"/>
          <w:color w:val="333333"/>
          <w:sz w:val="27"/>
          <w:szCs w:val="27"/>
          <w:lang w:eastAsia="en-GB"/>
        </w:rPr>
        <w:t>: </w:t>
      </w:r>
      <w:r w:rsidRPr="00F7742F">
        <w:rPr>
          <w:rFonts w:ascii="Arial" w:eastAsia="Times New Roman" w:hAnsi="Arial" w:cs="Arial"/>
          <w:b/>
          <w:bCs/>
          <w:color w:val="333333"/>
          <w:sz w:val="27"/>
          <w:szCs w:val="27"/>
          <w:lang w:eastAsia="en-GB"/>
        </w:rPr>
        <w:t>Population, area and forest &amp; ecology</w:t>
      </w:r>
      <w:r w:rsidRPr="00F7742F">
        <w:rPr>
          <w:rFonts w:ascii="Arial" w:eastAsia="Times New Roman" w:hAnsi="Arial" w:cs="Arial"/>
          <w:color w:val="333333"/>
          <w:sz w:val="27"/>
          <w:szCs w:val="27"/>
          <w:lang w:eastAsia="en-GB"/>
        </w:rPr>
        <w:t> form the need-based criteria. This is needed to address the fiscal gap of States existing due to the structural mismatch between the States’ resources and their expenditure liabilities.</w:t>
      </w:r>
    </w:p>
    <w:p w:rsidR="00F7742F" w:rsidRPr="00F7742F" w:rsidRDefault="00F7742F" w:rsidP="00F7742F">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F7742F">
        <w:rPr>
          <w:rFonts w:ascii="Arial" w:eastAsia="Times New Roman" w:hAnsi="Arial" w:cs="Arial"/>
          <w:b/>
          <w:bCs/>
          <w:color w:val="333333"/>
          <w:sz w:val="27"/>
          <w:szCs w:val="27"/>
          <w:lang w:eastAsia="en-GB"/>
        </w:rPr>
        <w:t>Equity-based criterion</w:t>
      </w:r>
      <w:r w:rsidRPr="00F7742F">
        <w:rPr>
          <w:rFonts w:ascii="Arial" w:eastAsia="Times New Roman" w:hAnsi="Arial" w:cs="Arial"/>
          <w:color w:val="333333"/>
          <w:sz w:val="27"/>
          <w:szCs w:val="27"/>
          <w:lang w:eastAsia="en-GB"/>
        </w:rPr>
        <w:t>: </w:t>
      </w:r>
      <w:r w:rsidRPr="00F7742F">
        <w:rPr>
          <w:rFonts w:ascii="Arial" w:eastAsia="Times New Roman" w:hAnsi="Arial" w:cs="Arial"/>
          <w:b/>
          <w:bCs/>
          <w:color w:val="333333"/>
          <w:sz w:val="27"/>
          <w:szCs w:val="27"/>
          <w:lang w:eastAsia="en-GB"/>
        </w:rPr>
        <w:t>Income distance</w:t>
      </w:r>
      <w:r w:rsidRPr="00F7742F">
        <w:rPr>
          <w:rFonts w:ascii="Arial" w:eastAsia="Times New Roman" w:hAnsi="Arial" w:cs="Arial"/>
          <w:color w:val="333333"/>
          <w:sz w:val="27"/>
          <w:szCs w:val="27"/>
          <w:lang w:eastAsia="en-GB"/>
        </w:rPr>
        <w:t> forms the equity-based criterion to ensure fiscal equalization given the large differences in the resource base available and status of development within the country.</w:t>
      </w:r>
    </w:p>
    <w:p w:rsidR="00F7742F" w:rsidRPr="00092A20" w:rsidRDefault="00F7742F" w:rsidP="00092A20">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F7742F">
        <w:rPr>
          <w:rFonts w:ascii="Arial" w:eastAsia="Times New Roman" w:hAnsi="Arial" w:cs="Arial"/>
          <w:b/>
          <w:bCs/>
          <w:color w:val="333333"/>
          <w:sz w:val="27"/>
          <w:szCs w:val="27"/>
          <w:lang w:eastAsia="en-GB"/>
        </w:rPr>
        <w:t>Performance-based criteria</w:t>
      </w:r>
      <w:r w:rsidRPr="00F7742F">
        <w:rPr>
          <w:rFonts w:ascii="Arial" w:eastAsia="Times New Roman" w:hAnsi="Arial" w:cs="Arial"/>
          <w:color w:val="333333"/>
          <w:sz w:val="27"/>
          <w:szCs w:val="27"/>
          <w:lang w:eastAsia="en-GB"/>
        </w:rPr>
        <w:t>: </w:t>
      </w:r>
      <w:r w:rsidRPr="00F7742F">
        <w:rPr>
          <w:rFonts w:ascii="Arial" w:eastAsia="Times New Roman" w:hAnsi="Arial" w:cs="Arial"/>
          <w:b/>
          <w:bCs/>
          <w:color w:val="333333"/>
          <w:sz w:val="27"/>
          <w:szCs w:val="27"/>
          <w:lang w:eastAsia="en-GB"/>
        </w:rPr>
        <w:t>Demographic performance and tax effort</w:t>
      </w:r>
      <w:r w:rsidRPr="00F7742F">
        <w:rPr>
          <w:rFonts w:ascii="Arial" w:eastAsia="Times New Roman" w:hAnsi="Arial" w:cs="Arial"/>
          <w:color w:val="333333"/>
          <w:sz w:val="27"/>
          <w:szCs w:val="27"/>
          <w:lang w:eastAsia="en-GB"/>
        </w:rPr>
        <w:t xml:space="preserve"> are part of the performance-based criteria that is framed to </w:t>
      </w:r>
      <w:r w:rsidRPr="00F7742F">
        <w:rPr>
          <w:rFonts w:ascii="Arial" w:eastAsia="Times New Roman" w:hAnsi="Arial" w:cs="Arial"/>
          <w:color w:val="333333"/>
          <w:sz w:val="27"/>
          <w:szCs w:val="27"/>
          <w:lang w:eastAsia="en-GB"/>
        </w:rPr>
        <w:lastRenderedPageBreak/>
        <w:t>reward and incentivize States to perform better, in terms of utilization of resources available to them.</w:t>
      </w:r>
    </w:p>
    <w:p w:rsidR="004451B0" w:rsidRDefault="004451B0"/>
    <w:p w:rsidR="00092A20" w:rsidRPr="00092A20" w:rsidRDefault="00092A20" w:rsidP="00092A20">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Population</w:t>
      </w:r>
      <w:r w:rsidRPr="00092A20">
        <w:rPr>
          <w:rFonts w:ascii="Arial" w:eastAsia="Times New Roman" w:hAnsi="Arial" w:cs="Arial"/>
          <w:color w:val="333333"/>
          <w:sz w:val="27"/>
          <w:szCs w:val="27"/>
          <w:lang w:eastAsia="en-GB"/>
        </w:rPr>
        <w:t xml:space="preserve">: Only 2011 Census numbers are used as per the </w:t>
      </w:r>
      <w:proofErr w:type="spellStart"/>
      <w:r w:rsidRPr="00092A20">
        <w:rPr>
          <w:rFonts w:ascii="Arial" w:eastAsia="Times New Roman" w:hAnsi="Arial" w:cs="Arial"/>
          <w:color w:val="333333"/>
          <w:sz w:val="27"/>
          <w:szCs w:val="27"/>
          <w:lang w:eastAsia="en-GB"/>
        </w:rPr>
        <w:t>ToR</w:t>
      </w:r>
      <w:proofErr w:type="spellEnd"/>
      <w:r w:rsidRPr="00092A20">
        <w:rPr>
          <w:rFonts w:ascii="Arial" w:eastAsia="Times New Roman" w:hAnsi="Arial" w:cs="Arial"/>
          <w:color w:val="333333"/>
          <w:sz w:val="27"/>
          <w:szCs w:val="27"/>
          <w:lang w:eastAsia="en-GB"/>
        </w:rPr>
        <w:t>. Population criterion is assigned a weight of only 15 per cent as some of the other criteria will also be scaled by it.</w:t>
      </w:r>
    </w:p>
    <w:p w:rsidR="00092A20" w:rsidRPr="00092A20" w:rsidRDefault="00092A20" w:rsidP="00092A20">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Area</w:t>
      </w:r>
      <w:r w:rsidRPr="00092A20">
        <w:rPr>
          <w:rFonts w:ascii="Arial" w:eastAsia="Times New Roman" w:hAnsi="Arial" w:cs="Arial"/>
          <w:color w:val="333333"/>
          <w:sz w:val="27"/>
          <w:szCs w:val="27"/>
          <w:lang w:eastAsia="en-GB"/>
        </w:rPr>
        <w:t>: A moderate weight of 15 per cent for the area criterion is assigned larger area incurs some additional administrative costs but it may not lead to a proportional increase in the cost of providing services.</w:t>
      </w:r>
    </w:p>
    <w:p w:rsidR="00092A20" w:rsidRPr="00092A20" w:rsidRDefault="00092A20" w:rsidP="00092A20">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Forest and Ecology</w:t>
      </w:r>
      <w:r w:rsidRPr="00092A20">
        <w:rPr>
          <w:rFonts w:ascii="Arial" w:eastAsia="Times New Roman" w:hAnsi="Arial" w:cs="Arial"/>
          <w:color w:val="333333"/>
          <w:sz w:val="27"/>
          <w:szCs w:val="27"/>
          <w:lang w:eastAsia="en-GB"/>
        </w:rPr>
        <w:t>: This criterion is for the ecological services being provided by a </w:t>
      </w:r>
      <w:r w:rsidRPr="00092A20">
        <w:rPr>
          <w:rFonts w:ascii="Arial" w:eastAsia="Times New Roman" w:hAnsi="Arial" w:cs="Arial"/>
          <w:color w:val="E60000"/>
          <w:sz w:val="27"/>
          <w:szCs w:val="27"/>
          <w:u w:val="single"/>
          <w:lang w:eastAsia="en-GB"/>
        </w:rPr>
        <w:t>State’s forest cover</w:t>
      </w:r>
      <w:r w:rsidRPr="00092A20">
        <w:rPr>
          <w:rFonts w:ascii="Arial" w:eastAsia="Times New Roman" w:hAnsi="Arial" w:cs="Arial"/>
          <w:color w:val="333333"/>
          <w:sz w:val="27"/>
          <w:szCs w:val="27"/>
          <w:lang w:eastAsia="en-GB"/>
        </w:rPr>
        <w:t> to the country as a whole and is arrived at by calculating the share of the dense forest of each State in the aggregate dense forest of all the States. A weight of 10 per cent is assigned for the forest and ecology criterion.</w:t>
      </w:r>
    </w:p>
    <w:p w:rsidR="00092A20" w:rsidRPr="00092A20" w:rsidRDefault="00092A20" w:rsidP="00092A20">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Income Distance: </w:t>
      </w:r>
      <w:r w:rsidRPr="00092A20">
        <w:rPr>
          <w:rFonts w:ascii="Arial" w:eastAsia="Times New Roman" w:hAnsi="Arial" w:cs="Arial"/>
          <w:color w:val="333333"/>
          <w:sz w:val="27"/>
          <w:szCs w:val="27"/>
          <w:lang w:eastAsia="en-GB"/>
        </w:rPr>
        <w:t>Distance of per capita income is the criteria used to make the devolution formula more equalizing and progressive, and provides higher devolution to States with lower per capita income and lower own tax capacity. The XV-FC retained the income distance criterion with a weight of 45 per cent.</w:t>
      </w:r>
    </w:p>
    <w:p w:rsidR="00092A20" w:rsidRPr="00092A20" w:rsidRDefault="00092A20" w:rsidP="00092A20">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Demographic Performance</w:t>
      </w:r>
      <w:r w:rsidRPr="00092A20">
        <w:rPr>
          <w:rFonts w:ascii="Arial" w:eastAsia="Times New Roman" w:hAnsi="Arial" w:cs="Arial"/>
          <w:color w:val="333333"/>
          <w:sz w:val="27"/>
          <w:szCs w:val="27"/>
          <w:lang w:eastAsia="en-GB"/>
        </w:rPr>
        <w:t>: An abrupt change from 1971 Census data to 2011 Census data should not unfairly penalize some States which have performed well on population control. Hence, the commission recommended introducing a new performance-based criterion to reward States who have performed well on the demography front. This criterion of demographic performance is computed by using the reciprocal of TFR of each State, scaled by the population data of Census 1971. States which have achieved lower TFR will be scored higher and vice versa. This criterion is assigned a weight of 12.5 per cent.</w:t>
      </w:r>
    </w:p>
    <w:p w:rsidR="00092A20" w:rsidRPr="00092A20" w:rsidRDefault="00092A20" w:rsidP="00092A20">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Tax Effort</w:t>
      </w:r>
      <w:r w:rsidRPr="00092A20">
        <w:rPr>
          <w:rFonts w:ascii="Arial" w:eastAsia="Times New Roman" w:hAnsi="Arial" w:cs="Arial"/>
          <w:color w:val="333333"/>
          <w:sz w:val="27"/>
          <w:szCs w:val="27"/>
          <w:lang w:eastAsia="en-GB"/>
        </w:rPr>
        <w:t>: The inclusion of tax effort as a performance-based criterion will reward the States with higher tax collection efficiency and encourage all States to be more tax efficient. It is computed by taking the ratio of the average of per capita own tax revenue of a State over three years and its per capita GSDP and scaling this ratio by the population of the State. Total weight of 2.5 per cent has been assigned to this criterion.</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Uttar Pradesh and Bihar have received the largest devolutions for 2020-21 while Karnataka and Kerala saw the largest decreases in the share of the </w:t>
      </w:r>
      <w:r w:rsidRPr="00092A20">
        <w:rPr>
          <w:rFonts w:ascii="Arial" w:eastAsia="Times New Roman" w:hAnsi="Arial" w:cs="Arial"/>
          <w:color w:val="E60000"/>
          <w:sz w:val="27"/>
          <w:szCs w:val="27"/>
          <w:u w:val="single"/>
          <w:lang w:eastAsia="en-GB"/>
        </w:rPr>
        <w:t>divisible pool</w:t>
      </w:r>
    </w:p>
    <w:p w:rsidR="00092A20" w:rsidRPr="00092A20" w:rsidRDefault="00092A20" w:rsidP="00092A20">
      <w:pPr>
        <w:shd w:val="clear" w:color="auto" w:fill="FFFFFF"/>
        <w:spacing w:before="450" w:after="150" w:line="240" w:lineRule="auto"/>
        <w:outlineLvl w:val="2"/>
        <w:rPr>
          <w:rFonts w:ascii="Arial" w:eastAsia="Times New Roman" w:hAnsi="Arial" w:cs="Arial"/>
          <w:b/>
          <w:bCs/>
          <w:color w:val="333333"/>
          <w:sz w:val="27"/>
          <w:szCs w:val="27"/>
          <w:lang w:eastAsia="en-GB"/>
        </w:rPr>
      </w:pPr>
      <w:r w:rsidRPr="00092A20">
        <w:rPr>
          <w:rFonts w:ascii="Arial" w:eastAsia="Times New Roman" w:hAnsi="Arial" w:cs="Arial"/>
          <w:b/>
          <w:bCs/>
          <w:color w:val="333333"/>
          <w:sz w:val="27"/>
          <w:szCs w:val="27"/>
          <w:lang w:eastAsia="en-GB"/>
        </w:rPr>
        <w:lastRenderedPageBreak/>
        <w:t>Grants in Aid</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Revenue Deficit Grants</w:t>
      </w:r>
      <w:r w:rsidRPr="00092A20">
        <w:rPr>
          <w:rFonts w:ascii="Arial" w:eastAsia="Times New Roman" w:hAnsi="Arial" w:cs="Arial"/>
          <w:color w:val="333333"/>
          <w:sz w:val="27"/>
          <w:szCs w:val="27"/>
          <w:lang w:eastAsia="en-GB"/>
        </w:rPr>
        <w:t xml:space="preserve">: 14 states are estimated to face a revenue deficit post-devolution.  The Commission has recommended revenue deficit grants worth </w:t>
      </w:r>
      <w:proofErr w:type="spellStart"/>
      <w:r w:rsidRPr="00092A20">
        <w:rPr>
          <w:rFonts w:ascii="Arial" w:eastAsia="Times New Roman" w:hAnsi="Arial" w:cs="Arial"/>
          <w:color w:val="333333"/>
          <w:sz w:val="27"/>
          <w:szCs w:val="27"/>
          <w:lang w:eastAsia="en-GB"/>
        </w:rPr>
        <w:t>Rs</w:t>
      </w:r>
      <w:proofErr w:type="spellEnd"/>
      <w:r w:rsidRPr="00092A20">
        <w:rPr>
          <w:rFonts w:ascii="Arial" w:eastAsia="Times New Roman" w:hAnsi="Arial" w:cs="Arial"/>
          <w:color w:val="333333"/>
          <w:sz w:val="27"/>
          <w:szCs w:val="27"/>
          <w:lang w:eastAsia="en-GB"/>
        </w:rPr>
        <w:t xml:space="preserve"> 74,341 crore to these 14 states.  Furthermore, the three states of Karnataka, Mizoram, and </w:t>
      </w:r>
      <w:proofErr w:type="spellStart"/>
      <w:r w:rsidRPr="00092A20">
        <w:rPr>
          <w:rFonts w:ascii="Arial" w:eastAsia="Times New Roman" w:hAnsi="Arial" w:cs="Arial"/>
          <w:color w:val="333333"/>
          <w:sz w:val="27"/>
          <w:szCs w:val="27"/>
          <w:lang w:eastAsia="en-GB"/>
        </w:rPr>
        <w:t>Telangana</w:t>
      </w:r>
      <w:proofErr w:type="spellEnd"/>
      <w:r w:rsidRPr="00092A20">
        <w:rPr>
          <w:rFonts w:ascii="Arial" w:eastAsia="Times New Roman" w:hAnsi="Arial" w:cs="Arial"/>
          <w:color w:val="333333"/>
          <w:sz w:val="27"/>
          <w:szCs w:val="27"/>
          <w:lang w:eastAsia="en-GB"/>
        </w:rPr>
        <w:t xml:space="preserve"> received special grants to make up the shortfall between untied transfers received by these States in the form of tax devolution plus revenue deficit grant in 2020-21 </w:t>
      </w:r>
      <w:proofErr w:type="spellStart"/>
      <w:r w:rsidRPr="00092A20">
        <w:rPr>
          <w:rFonts w:ascii="Arial" w:eastAsia="Times New Roman" w:hAnsi="Arial" w:cs="Arial"/>
          <w:color w:val="333333"/>
          <w:sz w:val="27"/>
          <w:szCs w:val="27"/>
          <w:lang w:eastAsia="en-GB"/>
        </w:rPr>
        <w:t>vis</w:t>
      </w:r>
      <w:proofErr w:type="spellEnd"/>
      <w:r w:rsidRPr="00092A20">
        <w:rPr>
          <w:rFonts w:ascii="Arial" w:eastAsia="Times New Roman" w:hAnsi="Arial" w:cs="Arial"/>
          <w:color w:val="333333"/>
          <w:sz w:val="27"/>
          <w:szCs w:val="27"/>
          <w:lang w:eastAsia="en-GB"/>
        </w:rPr>
        <w:t>-a-</w:t>
      </w:r>
      <w:proofErr w:type="spellStart"/>
      <w:r w:rsidRPr="00092A20">
        <w:rPr>
          <w:rFonts w:ascii="Arial" w:eastAsia="Times New Roman" w:hAnsi="Arial" w:cs="Arial"/>
          <w:color w:val="333333"/>
          <w:sz w:val="27"/>
          <w:szCs w:val="27"/>
          <w:lang w:eastAsia="en-GB"/>
        </w:rPr>
        <w:t>vis</w:t>
      </w:r>
      <w:proofErr w:type="spellEnd"/>
      <w:r w:rsidRPr="00092A20">
        <w:rPr>
          <w:rFonts w:ascii="Arial" w:eastAsia="Times New Roman" w:hAnsi="Arial" w:cs="Arial"/>
          <w:color w:val="333333"/>
          <w:sz w:val="27"/>
          <w:szCs w:val="27"/>
          <w:lang w:eastAsia="en-GB"/>
        </w:rPr>
        <w:t xml:space="preserve"> the corresponding amount in 2019-20.</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proofErr w:type="spellStart"/>
      <w:r w:rsidRPr="00092A20">
        <w:rPr>
          <w:rFonts w:ascii="Arial" w:eastAsia="Times New Roman" w:hAnsi="Arial" w:cs="Arial"/>
          <w:b/>
          <w:bCs/>
          <w:color w:val="333333"/>
          <w:sz w:val="27"/>
          <w:szCs w:val="27"/>
          <w:lang w:eastAsia="en-GB"/>
        </w:rPr>
        <w:t>Sectoral</w:t>
      </w:r>
      <w:proofErr w:type="spellEnd"/>
      <w:r w:rsidRPr="00092A20">
        <w:rPr>
          <w:rFonts w:ascii="Arial" w:eastAsia="Times New Roman" w:hAnsi="Arial" w:cs="Arial"/>
          <w:b/>
          <w:bCs/>
          <w:color w:val="333333"/>
          <w:sz w:val="27"/>
          <w:szCs w:val="27"/>
          <w:lang w:eastAsia="en-GB"/>
        </w:rPr>
        <w:t xml:space="preserve"> Grants</w:t>
      </w:r>
      <w:r w:rsidRPr="00092A20">
        <w:rPr>
          <w:rFonts w:ascii="Arial" w:eastAsia="Times New Roman" w:hAnsi="Arial" w:cs="Arial"/>
          <w:color w:val="333333"/>
          <w:sz w:val="27"/>
          <w:szCs w:val="27"/>
          <w:lang w:eastAsia="en-GB"/>
        </w:rPr>
        <w:t xml:space="preserve">: The XV-FC is considering recommending </w:t>
      </w:r>
      <w:proofErr w:type="spellStart"/>
      <w:r w:rsidRPr="00092A20">
        <w:rPr>
          <w:rFonts w:ascii="Arial" w:eastAsia="Times New Roman" w:hAnsi="Arial" w:cs="Arial"/>
          <w:color w:val="333333"/>
          <w:sz w:val="27"/>
          <w:szCs w:val="27"/>
          <w:lang w:eastAsia="en-GB"/>
        </w:rPr>
        <w:t>sectoral</w:t>
      </w:r>
      <w:proofErr w:type="spellEnd"/>
      <w:r w:rsidRPr="00092A20">
        <w:rPr>
          <w:rFonts w:ascii="Arial" w:eastAsia="Times New Roman" w:hAnsi="Arial" w:cs="Arial"/>
          <w:color w:val="333333"/>
          <w:sz w:val="27"/>
          <w:szCs w:val="27"/>
          <w:lang w:eastAsia="en-GB"/>
        </w:rPr>
        <w:t xml:space="preserve"> grants for nutrition, health, pre-primary education, judiciary, rural connectivity, railways, statistics and police training, and housing during its tenure. Of these, grants for nutrition, to augment the efforts of the States towards reducing and ultimately eliminating malnutrition, is specifically recommended even in 2020-21.</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Performance-based Incentives</w:t>
      </w:r>
      <w:r w:rsidRPr="00092A20">
        <w:rPr>
          <w:rFonts w:ascii="Arial" w:eastAsia="Times New Roman" w:hAnsi="Arial" w:cs="Arial"/>
          <w:color w:val="333333"/>
          <w:sz w:val="27"/>
          <w:szCs w:val="27"/>
          <w:lang w:eastAsia="en-GB"/>
        </w:rPr>
        <w:t>: Six broad areas are identified to provide performance-based incentives to States.</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E60000"/>
          <w:sz w:val="24"/>
          <w:szCs w:val="24"/>
          <w:u w:val="single"/>
          <w:lang w:eastAsia="en-GB"/>
        </w:rPr>
        <w:t>Implementation of Agriculture Reforms</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Development of Aspirational Districts and Aspirational Blocks</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Power Sector Reforms</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Enhancing Trade including Exports</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Incentives for </w:t>
      </w:r>
      <w:r w:rsidRPr="00092A20">
        <w:rPr>
          <w:rFonts w:ascii="Arial" w:eastAsia="Times New Roman" w:hAnsi="Arial" w:cs="Arial"/>
          <w:color w:val="E60000"/>
          <w:sz w:val="24"/>
          <w:szCs w:val="24"/>
          <w:u w:val="single"/>
          <w:lang w:eastAsia="en-GB"/>
        </w:rPr>
        <w:t>Education</w:t>
      </w:r>
    </w:p>
    <w:p w:rsidR="00092A20" w:rsidRPr="00092A20" w:rsidRDefault="00092A20" w:rsidP="00092A20">
      <w:pPr>
        <w:numPr>
          <w:ilvl w:val="0"/>
          <w:numId w:val="5"/>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Promotion of Domestic and International Tourism</w:t>
      </w:r>
    </w:p>
    <w:p w:rsidR="00092A20" w:rsidRPr="00092A20" w:rsidRDefault="00092A20" w:rsidP="00092A20">
      <w:pPr>
        <w:shd w:val="clear" w:color="auto" w:fill="FFFFFF"/>
        <w:spacing w:before="450" w:after="150" w:line="240" w:lineRule="auto"/>
        <w:outlineLvl w:val="2"/>
        <w:rPr>
          <w:rFonts w:ascii="Arial" w:eastAsia="Times New Roman" w:hAnsi="Arial" w:cs="Arial"/>
          <w:b/>
          <w:bCs/>
          <w:color w:val="333333"/>
          <w:sz w:val="27"/>
          <w:szCs w:val="27"/>
          <w:lang w:eastAsia="en-GB"/>
        </w:rPr>
      </w:pPr>
      <w:r w:rsidRPr="00092A20">
        <w:rPr>
          <w:rFonts w:ascii="Arial" w:eastAsia="Times New Roman" w:hAnsi="Arial" w:cs="Arial"/>
          <w:b/>
          <w:bCs/>
          <w:color w:val="333333"/>
          <w:sz w:val="27"/>
          <w:szCs w:val="27"/>
          <w:lang w:eastAsia="en-GB"/>
        </w:rPr>
        <w:t>Empowering Local Bodies</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Some significant changes made by XV-FC compared to previous Finance Commissions:</w:t>
      </w:r>
    </w:p>
    <w:p w:rsidR="00092A20" w:rsidRPr="00092A20" w:rsidRDefault="00092A20" w:rsidP="00092A20">
      <w:pPr>
        <w:numPr>
          <w:ilvl w:val="0"/>
          <w:numId w:val="6"/>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To recommend grants to all tiers of the </w:t>
      </w:r>
      <w:proofErr w:type="spellStart"/>
      <w:r w:rsidRPr="00092A20">
        <w:rPr>
          <w:rFonts w:ascii="Arial" w:eastAsia="Times New Roman" w:hAnsi="Arial" w:cs="Arial"/>
          <w:color w:val="E60000"/>
          <w:sz w:val="24"/>
          <w:szCs w:val="24"/>
          <w:u w:val="single"/>
          <w:lang w:eastAsia="en-GB"/>
        </w:rPr>
        <w:t>Panchayati</w:t>
      </w:r>
      <w:proofErr w:type="spellEnd"/>
      <w:r w:rsidRPr="00092A20">
        <w:rPr>
          <w:rFonts w:ascii="Arial" w:eastAsia="Times New Roman" w:hAnsi="Arial" w:cs="Arial"/>
          <w:color w:val="E60000"/>
          <w:sz w:val="24"/>
          <w:szCs w:val="24"/>
          <w:u w:val="single"/>
          <w:lang w:eastAsia="en-GB"/>
        </w:rPr>
        <w:t xml:space="preserve"> Raj</w:t>
      </w:r>
      <w:r w:rsidRPr="00092A20">
        <w:rPr>
          <w:rFonts w:ascii="Arial" w:eastAsia="Times New Roman" w:hAnsi="Arial" w:cs="Arial"/>
          <w:color w:val="333333"/>
          <w:sz w:val="27"/>
          <w:szCs w:val="27"/>
          <w:lang w:eastAsia="en-GB"/>
        </w:rPr>
        <w:t> to enable pooling of resources to create durable community assets and improve their functional viability.</w:t>
      </w:r>
    </w:p>
    <w:p w:rsidR="00092A20" w:rsidRPr="00092A20" w:rsidRDefault="00092A20" w:rsidP="00092A20">
      <w:pPr>
        <w:numPr>
          <w:ilvl w:val="0"/>
          <w:numId w:val="6"/>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To give grants to the </w:t>
      </w:r>
      <w:r w:rsidRPr="00092A20">
        <w:rPr>
          <w:rFonts w:ascii="Arial" w:eastAsia="Times New Roman" w:hAnsi="Arial" w:cs="Arial"/>
          <w:color w:val="E60000"/>
          <w:sz w:val="24"/>
          <w:szCs w:val="24"/>
          <w:u w:val="single"/>
          <w:lang w:eastAsia="en-GB"/>
        </w:rPr>
        <w:t>Fifth and Sixth Schedule areas</w:t>
      </w:r>
      <w:r w:rsidRPr="00092A20">
        <w:rPr>
          <w:rFonts w:ascii="Arial" w:eastAsia="Times New Roman" w:hAnsi="Arial" w:cs="Arial"/>
          <w:color w:val="333333"/>
          <w:sz w:val="27"/>
          <w:szCs w:val="27"/>
          <w:lang w:eastAsia="en-GB"/>
        </w:rPr>
        <w:t> and Cantonment Boards.</w:t>
      </w:r>
    </w:p>
    <w:p w:rsidR="00092A20" w:rsidRPr="00092A20" w:rsidRDefault="00092A20" w:rsidP="00092A20">
      <w:pPr>
        <w:numPr>
          <w:ilvl w:val="0"/>
          <w:numId w:val="6"/>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 xml:space="preserve">To provide for tied grants in the critical sectors of sanitation and drinking water to ensure additional funds to the local bodies over and above the funds allocated for these purposes under the centrally sponsored schemes (CSS), </w:t>
      </w:r>
      <w:proofErr w:type="spellStart"/>
      <w:r w:rsidRPr="00092A20">
        <w:rPr>
          <w:rFonts w:ascii="Arial" w:eastAsia="Times New Roman" w:hAnsi="Arial" w:cs="Arial"/>
          <w:color w:val="333333"/>
          <w:sz w:val="27"/>
          <w:szCs w:val="27"/>
          <w:lang w:eastAsia="en-GB"/>
        </w:rPr>
        <w:t>Swachh</w:t>
      </w:r>
      <w:proofErr w:type="spellEnd"/>
      <w:r w:rsidRPr="00092A20">
        <w:rPr>
          <w:rFonts w:ascii="Arial" w:eastAsia="Times New Roman" w:hAnsi="Arial" w:cs="Arial"/>
          <w:color w:val="333333"/>
          <w:sz w:val="27"/>
          <w:szCs w:val="27"/>
          <w:lang w:eastAsia="en-GB"/>
        </w:rPr>
        <w:t xml:space="preserve"> Bharat and </w:t>
      </w:r>
      <w:proofErr w:type="spellStart"/>
      <w:r w:rsidRPr="00092A20">
        <w:rPr>
          <w:rFonts w:ascii="Arial" w:eastAsia="Times New Roman" w:hAnsi="Arial" w:cs="Arial"/>
          <w:color w:val="333333"/>
          <w:sz w:val="27"/>
          <w:szCs w:val="27"/>
          <w:lang w:eastAsia="en-GB"/>
        </w:rPr>
        <w:t>Jal</w:t>
      </w:r>
      <w:proofErr w:type="spellEnd"/>
      <w:r w:rsidRPr="00092A20">
        <w:rPr>
          <w:rFonts w:ascii="Arial" w:eastAsia="Times New Roman" w:hAnsi="Arial" w:cs="Arial"/>
          <w:color w:val="333333"/>
          <w:sz w:val="27"/>
          <w:szCs w:val="27"/>
          <w:lang w:eastAsia="en-GB"/>
        </w:rPr>
        <w:t xml:space="preserve"> </w:t>
      </w:r>
      <w:proofErr w:type="spellStart"/>
      <w:r w:rsidRPr="00092A20">
        <w:rPr>
          <w:rFonts w:ascii="Arial" w:eastAsia="Times New Roman" w:hAnsi="Arial" w:cs="Arial"/>
          <w:color w:val="333333"/>
          <w:sz w:val="27"/>
          <w:szCs w:val="27"/>
          <w:lang w:eastAsia="en-GB"/>
        </w:rPr>
        <w:t>Jeevan</w:t>
      </w:r>
      <w:proofErr w:type="spellEnd"/>
      <w:r w:rsidRPr="00092A20">
        <w:rPr>
          <w:rFonts w:ascii="Arial" w:eastAsia="Times New Roman" w:hAnsi="Arial" w:cs="Arial"/>
          <w:color w:val="333333"/>
          <w:sz w:val="27"/>
          <w:szCs w:val="27"/>
          <w:lang w:eastAsia="en-GB"/>
        </w:rPr>
        <w:t xml:space="preserve"> Missions.</w:t>
      </w:r>
    </w:p>
    <w:p w:rsidR="00092A20" w:rsidRPr="00092A20" w:rsidRDefault="00092A20" w:rsidP="00092A20">
      <w:pPr>
        <w:numPr>
          <w:ilvl w:val="0"/>
          <w:numId w:val="6"/>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To account for increasing urbanization the share of urban local bodies in Finance Commission grants to local bodies should be gradually increased to 40 per cent over the medium term.</w:t>
      </w:r>
    </w:p>
    <w:p w:rsidR="00092A20" w:rsidRPr="00092A20" w:rsidRDefault="00092A20" w:rsidP="00092A20">
      <w:pPr>
        <w:numPr>
          <w:ilvl w:val="0"/>
          <w:numId w:val="6"/>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lastRenderedPageBreak/>
        <w:t>Since larger cities will tend to grow faster with the agglomeration effect, the fifty Million-Plus cities in the country need differentiated treatment, with special emphasis on meeting the challenges of bad ambient air quality, groundwater depletion and sanitation.</w:t>
      </w:r>
    </w:p>
    <w:p w:rsidR="00092A20" w:rsidRPr="00092A20" w:rsidRDefault="00092A20" w:rsidP="00092A20">
      <w:pPr>
        <w:shd w:val="clear" w:color="auto" w:fill="FFFFFF"/>
        <w:spacing w:after="420" w:line="240" w:lineRule="auto"/>
        <w:rPr>
          <w:rFonts w:ascii="Arial" w:eastAsia="Times New Roman" w:hAnsi="Arial" w:cs="Arial"/>
          <w:color w:val="333333"/>
          <w:sz w:val="27"/>
          <w:szCs w:val="27"/>
          <w:lang w:eastAsia="en-GB"/>
        </w:rPr>
      </w:pPr>
      <w:r w:rsidRPr="00092A20">
        <w:rPr>
          <w:rFonts w:ascii="Arial" w:eastAsia="Times New Roman" w:hAnsi="Arial" w:cs="Arial"/>
          <w:b/>
          <w:bCs/>
          <w:color w:val="333333"/>
          <w:sz w:val="27"/>
          <w:szCs w:val="27"/>
          <w:lang w:eastAsia="en-GB"/>
        </w:rPr>
        <w:t>Grants to Local Bodies</w:t>
      </w:r>
      <w:r w:rsidRPr="00092A20">
        <w:rPr>
          <w:rFonts w:ascii="Arial" w:eastAsia="Times New Roman" w:hAnsi="Arial" w:cs="Arial"/>
          <w:color w:val="333333"/>
          <w:sz w:val="27"/>
          <w:szCs w:val="27"/>
          <w:lang w:eastAsia="en-GB"/>
        </w:rPr>
        <w:t>:</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 xml:space="preserve">The Commission has recommended a total of </w:t>
      </w:r>
      <w:proofErr w:type="spellStart"/>
      <w:r w:rsidRPr="00092A20">
        <w:rPr>
          <w:rFonts w:ascii="Arial" w:eastAsia="Times New Roman" w:hAnsi="Arial" w:cs="Arial"/>
          <w:color w:val="333333"/>
          <w:sz w:val="27"/>
          <w:szCs w:val="27"/>
          <w:lang w:eastAsia="en-GB"/>
        </w:rPr>
        <w:t>Rs</w:t>
      </w:r>
      <w:proofErr w:type="spellEnd"/>
      <w:r w:rsidRPr="00092A20">
        <w:rPr>
          <w:rFonts w:ascii="Arial" w:eastAsia="Times New Roman" w:hAnsi="Arial" w:cs="Arial"/>
          <w:color w:val="333333"/>
          <w:sz w:val="27"/>
          <w:szCs w:val="27"/>
          <w:lang w:eastAsia="en-GB"/>
        </w:rPr>
        <w:t xml:space="preserve"> 90,000 crore for grants to the local bodies in 2020-21.</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This amounts to 4.31% of the divisible pool.</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These grants will be made available to all three tiers of Panchayat- village, block, and district.</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The inter-se distribution of grants for local bodies among the States may be based on population and area in the ratio of 90:10.</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For 2020-21, the proportion of grants between rural and urban local bodies recommended by the XV-FC is in the ratio of 67.5:32.5.</w:t>
      </w:r>
    </w:p>
    <w:p w:rsidR="00092A20" w:rsidRPr="00092A20" w:rsidRDefault="00092A20" w:rsidP="00092A20">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For all urban bodies, the distribution of grants for 2020-21 is based on population.</w:t>
      </w:r>
    </w:p>
    <w:p w:rsidR="00092A20" w:rsidRPr="00092A20" w:rsidRDefault="00092A20" w:rsidP="00092A20">
      <w:pPr>
        <w:shd w:val="clear" w:color="auto" w:fill="FFFFFF"/>
        <w:spacing w:before="450" w:after="150" w:line="240" w:lineRule="auto"/>
        <w:outlineLvl w:val="2"/>
        <w:rPr>
          <w:rFonts w:ascii="Arial" w:eastAsia="Times New Roman" w:hAnsi="Arial" w:cs="Arial"/>
          <w:b/>
          <w:bCs/>
          <w:color w:val="333333"/>
          <w:sz w:val="27"/>
          <w:szCs w:val="27"/>
          <w:lang w:eastAsia="en-GB"/>
        </w:rPr>
      </w:pPr>
      <w:r w:rsidRPr="00092A20">
        <w:rPr>
          <w:rFonts w:ascii="Arial" w:eastAsia="Times New Roman" w:hAnsi="Arial" w:cs="Arial"/>
          <w:b/>
          <w:bCs/>
          <w:color w:val="333333"/>
          <w:sz w:val="27"/>
          <w:szCs w:val="27"/>
          <w:lang w:eastAsia="en-GB"/>
        </w:rPr>
        <w:t>Disaster Risk Management</w:t>
      </w:r>
    </w:p>
    <w:p w:rsidR="00092A20" w:rsidRPr="00092A20" w:rsidRDefault="00092A20" w:rsidP="00092A20">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To promote local-level mitigation activities, mitigation funds shall be set up at both national and state levels in the form of NDMF and State Disaster Mitigation Funds (SDMF), following the </w:t>
      </w:r>
      <w:r w:rsidRPr="00092A20">
        <w:rPr>
          <w:rFonts w:ascii="Arial" w:eastAsia="Times New Roman" w:hAnsi="Arial" w:cs="Arial"/>
          <w:color w:val="E60000"/>
          <w:sz w:val="24"/>
          <w:szCs w:val="24"/>
          <w:u w:val="single"/>
          <w:lang w:eastAsia="en-GB"/>
        </w:rPr>
        <w:t>Disaster Management Act</w:t>
      </w:r>
      <w:r w:rsidRPr="00092A20">
        <w:rPr>
          <w:rFonts w:ascii="Arial" w:eastAsia="Times New Roman" w:hAnsi="Arial" w:cs="Arial"/>
          <w:color w:val="333333"/>
          <w:sz w:val="27"/>
          <w:szCs w:val="27"/>
          <w:lang w:eastAsia="en-GB"/>
        </w:rPr>
        <w:t>.</w:t>
      </w:r>
    </w:p>
    <w:p w:rsidR="00092A20" w:rsidRPr="00092A20" w:rsidRDefault="00092A20" w:rsidP="00092A20">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The Commission recommended the creation of funds for disaster mitigation along with disaster response, which will now together be called as National Disaster Risk Management Fund (NDRMF) and State Disaster Risk Management Funds (SDRMF).</w:t>
      </w:r>
    </w:p>
    <w:p w:rsidR="00092A20" w:rsidRPr="00092A20" w:rsidRDefault="00092A20" w:rsidP="00092A20">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 xml:space="preserve">Recommended grants for the State Disaster Risk Management Fund is </w:t>
      </w:r>
      <w:proofErr w:type="spellStart"/>
      <w:r w:rsidRPr="00092A20">
        <w:rPr>
          <w:rFonts w:ascii="Arial" w:eastAsia="Times New Roman" w:hAnsi="Arial" w:cs="Arial"/>
          <w:color w:val="333333"/>
          <w:sz w:val="27"/>
          <w:szCs w:val="27"/>
          <w:lang w:eastAsia="en-GB"/>
        </w:rPr>
        <w:t>Rs</w:t>
      </w:r>
      <w:proofErr w:type="spellEnd"/>
      <w:r w:rsidRPr="00092A20">
        <w:rPr>
          <w:rFonts w:ascii="Arial" w:eastAsia="Times New Roman" w:hAnsi="Arial" w:cs="Arial"/>
          <w:color w:val="333333"/>
          <w:sz w:val="27"/>
          <w:szCs w:val="27"/>
          <w:lang w:eastAsia="en-GB"/>
        </w:rPr>
        <w:t xml:space="preserve"> 28,983 crore. Out of this, the share of SDRF shall be 80 per cent and the share of SDMF 20 per cent. The allocation for the National Disaster Risk Management Fund is </w:t>
      </w:r>
      <w:proofErr w:type="spellStart"/>
      <w:r w:rsidRPr="00092A20">
        <w:rPr>
          <w:rFonts w:ascii="Arial" w:eastAsia="Times New Roman" w:hAnsi="Arial" w:cs="Arial"/>
          <w:color w:val="333333"/>
          <w:sz w:val="27"/>
          <w:szCs w:val="27"/>
          <w:lang w:eastAsia="en-GB"/>
        </w:rPr>
        <w:t>Rs</w:t>
      </w:r>
      <w:proofErr w:type="spellEnd"/>
      <w:r w:rsidRPr="00092A20">
        <w:rPr>
          <w:rFonts w:ascii="Arial" w:eastAsia="Times New Roman" w:hAnsi="Arial" w:cs="Arial"/>
          <w:color w:val="333333"/>
          <w:sz w:val="27"/>
          <w:szCs w:val="27"/>
          <w:lang w:eastAsia="en-GB"/>
        </w:rPr>
        <w:t xml:space="preserve"> 12,390 crore.</w:t>
      </w:r>
    </w:p>
    <w:p w:rsidR="00092A20" w:rsidRPr="00092A20" w:rsidRDefault="00092A20" w:rsidP="00092A20">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Allocations for NDRF / SDRF will be further sub-divided into</w:t>
      </w:r>
    </w:p>
    <w:p w:rsidR="00092A20" w:rsidRPr="00092A20" w:rsidRDefault="00092A20" w:rsidP="00092A20">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Response and Relief – 40 per cent</w:t>
      </w:r>
    </w:p>
    <w:p w:rsidR="00092A20" w:rsidRPr="00092A20" w:rsidRDefault="00092A20" w:rsidP="00092A20">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Recovery and Reconstruction – 30 per cent</w:t>
      </w:r>
    </w:p>
    <w:p w:rsidR="00092A20" w:rsidRPr="00092A20" w:rsidRDefault="00092A20" w:rsidP="00092A20">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7"/>
          <w:szCs w:val="27"/>
          <w:lang w:eastAsia="en-GB"/>
        </w:rPr>
      </w:pPr>
      <w:r w:rsidRPr="00092A20">
        <w:rPr>
          <w:rFonts w:ascii="Arial" w:eastAsia="Times New Roman" w:hAnsi="Arial" w:cs="Arial"/>
          <w:color w:val="333333"/>
          <w:sz w:val="27"/>
          <w:szCs w:val="27"/>
          <w:lang w:eastAsia="en-GB"/>
        </w:rPr>
        <w:t>Capacity Building – 10 per cent</w:t>
      </w:r>
    </w:p>
    <w:p w:rsidR="00092A20" w:rsidRDefault="00092A20" w:rsidP="00092A20">
      <w:pPr>
        <w:pStyle w:val="Heading2"/>
        <w:numPr>
          <w:ilvl w:val="0"/>
          <w:numId w:val="9"/>
        </w:numPr>
        <w:shd w:val="clear" w:color="auto" w:fill="FFFFFF"/>
        <w:spacing w:before="450" w:beforeAutospacing="0" w:after="150" w:afterAutospacing="0"/>
        <w:rPr>
          <w:rFonts w:ascii="Arial" w:hAnsi="Arial" w:cs="Arial"/>
          <w:color w:val="333333"/>
        </w:rPr>
      </w:pPr>
      <w:r>
        <w:rPr>
          <w:rFonts w:ascii="Arial" w:hAnsi="Arial" w:cs="Arial"/>
          <w:color w:val="333333"/>
        </w:rPr>
        <w:t>Conclusion</w:t>
      </w:r>
    </w:p>
    <w:p w:rsidR="00092A20" w:rsidRDefault="00092A20" w:rsidP="00092A20">
      <w:pPr>
        <w:pStyle w:val="NormalWeb"/>
        <w:numPr>
          <w:ilvl w:val="0"/>
          <w:numId w:val="9"/>
        </w:numPr>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Several challenges have emerged since these recommendations were made by the XV-FC in the form of the global economic slowdown, lower tax revenue realization and above all, the enormous disruption to the economy created by the </w:t>
      </w:r>
      <w:r w:rsidRPr="00092A20">
        <w:rPr>
          <w:rFonts w:ascii="Arial" w:hAnsi="Arial" w:cs="Arial"/>
          <w:color w:val="333333"/>
          <w:sz w:val="27"/>
          <w:szCs w:val="27"/>
        </w:rPr>
        <w:t>Coronavirus pandemic</w:t>
      </w:r>
      <w:r>
        <w:rPr>
          <w:rFonts w:ascii="Arial" w:hAnsi="Arial" w:cs="Arial"/>
          <w:color w:val="333333"/>
          <w:sz w:val="27"/>
          <w:szCs w:val="27"/>
        </w:rPr>
        <w:t>.</w:t>
      </w:r>
    </w:p>
    <w:p w:rsidR="00092A20" w:rsidRDefault="00092A20" w:rsidP="00092A20">
      <w:pPr>
        <w:pStyle w:val="NormalWeb"/>
        <w:numPr>
          <w:ilvl w:val="0"/>
          <w:numId w:val="9"/>
        </w:numPr>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lastRenderedPageBreak/>
        <w:t>These will necessitate several additional demands for allocations to be made in the coming years.</w:t>
      </w:r>
    </w:p>
    <w:p w:rsidR="00092A20" w:rsidRDefault="00092A20" w:rsidP="00092A20">
      <w:pPr>
        <w:pStyle w:val="NormalWeb"/>
        <w:numPr>
          <w:ilvl w:val="0"/>
          <w:numId w:val="9"/>
        </w:numPr>
        <w:shd w:val="clear" w:color="auto" w:fill="FFFFFF"/>
        <w:spacing w:before="0" w:beforeAutospacing="0" w:after="420" w:afterAutospacing="0"/>
        <w:rPr>
          <w:rFonts w:ascii="Arial" w:hAnsi="Arial" w:cs="Arial"/>
          <w:color w:val="333333"/>
          <w:sz w:val="27"/>
          <w:szCs w:val="27"/>
        </w:rPr>
      </w:pPr>
      <w:r>
        <w:rPr>
          <w:rFonts w:ascii="Arial" w:hAnsi="Arial" w:cs="Arial"/>
          <w:color w:val="333333"/>
          <w:sz w:val="27"/>
          <w:szCs w:val="27"/>
        </w:rPr>
        <w:t>Further, several policy issues like streamlining </w:t>
      </w:r>
      <w:r w:rsidRPr="00092A20">
        <w:rPr>
          <w:rFonts w:ascii="Arial" w:hAnsi="Arial" w:cs="Arial"/>
          <w:color w:val="333333"/>
          <w:sz w:val="27"/>
          <w:szCs w:val="27"/>
        </w:rPr>
        <w:t>GST</w:t>
      </w:r>
      <w:r>
        <w:rPr>
          <w:rFonts w:ascii="Arial" w:hAnsi="Arial" w:cs="Arial"/>
          <w:color w:val="333333"/>
          <w:sz w:val="27"/>
          <w:szCs w:val="27"/>
        </w:rPr>
        <w:t>, Direct Tax Code, improving expenditure outcomes, etc. will need special focus from the government to achieve the noble objectives set before the Finance Commission.</w:t>
      </w:r>
    </w:p>
    <w:p w:rsidR="00092A20" w:rsidRDefault="00092A20"/>
    <w:sectPr w:rsidR="00092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14B9"/>
    <w:multiLevelType w:val="multilevel"/>
    <w:tmpl w:val="78E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A65AC"/>
    <w:multiLevelType w:val="multilevel"/>
    <w:tmpl w:val="865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65A6E"/>
    <w:multiLevelType w:val="multilevel"/>
    <w:tmpl w:val="E59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22BC0"/>
    <w:multiLevelType w:val="multilevel"/>
    <w:tmpl w:val="615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0642F"/>
    <w:multiLevelType w:val="multilevel"/>
    <w:tmpl w:val="513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602C7"/>
    <w:multiLevelType w:val="multilevel"/>
    <w:tmpl w:val="546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F7EDD"/>
    <w:multiLevelType w:val="multilevel"/>
    <w:tmpl w:val="573C2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47143"/>
    <w:multiLevelType w:val="multilevel"/>
    <w:tmpl w:val="D48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2"/>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2F"/>
    <w:rsid w:val="00092A20"/>
    <w:rsid w:val="004451B0"/>
    <w:rsid w:val="00F7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782A-10C2-44D7-A6D7-55BB9DD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4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77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774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7742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7742F"/>
    <w:rPr>
      <w:b/>
      <w:bCs/>
    </w:rPr>
  </w:style>
  <w:style w:type="paragraph" w:styleId="ListParagraph">
    <w:name w:val="List Paragraph"/>
    <w:basedOn w:val="Normal"/>
    <w:uiPriority w:val="34"/>
    <w:qFormat/>
    <w:rsid w:val="00F7742F"/>
    <w:pPr>
      <w:ind w:left="720"/>
      <w:contextualSpacing/>
    </w:pPr>
  </w:style>
  <w:style w:type="character" w:styleId="Hyperlink">
    <w:name w:val="Hyperlink"/>
    <w:basedOn w:val="DefaultParagraphFont"/>
    <w:uiPriority w:val="99"/>
    <w:semiHidden/>
    <w:unhideWhenUsed/>
    <w:rsid w:val="00092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0350">
      <w:bodyDiv w:val="1"/>
      <w:marLeft w:val="0"/>
      <w:marRight w:val="0"/>
      <w:marTop w:val="0"/>
      <w:marBottom w:val="0"/>
      <w:divBdr>
        <w:top w:val="none" w:sz="0" w:space="0" w:color="auto"/>
        <w:left w:val="none" w:sz="0" w:space="0" w:color="auto"/>
        <w:bottom w:val="none" w:sz="0" w:space="0" w:color="auto"/>
        <w:right w:val="none" w:sz="0" w:space="0" w:color="auto"/>
      </w:divBdr>
    </w:div>
    <w:div w:id="306667643">
      <w:bodyDiv w:val="1"/>
      <w:marLeft w:val="0"/>
      <w:marRight w:val="0"/>
      <w:marTop w:val="0"/>
      <w:marBottom w:val="0"/>
      <w:divBdr>
        <w:top w:val="none" w:sz="0" w:space="0" w:color="auto"/>
        <w:left w:val="none" w:sz="0" w:space="0" w:color="auto"/>
        <w:bottom w:val="none" w:sz="0" w:space="0" w:color="auto"/>
        <w:right w:val="none" w:sz="0" w:space="0" w:color="auto"/>
      </w:divBdr>
    </w:div>
    <w:div w:id="455566978">
      <w:bodyDiv w:val="1"/>
      <w:marLeft w:val="0"/>
      <w:marRight w:val="0"/>
      <w:marTop w:val="0"/>
      <w:marBottom w:val="0"/>
      <w:divBdr>
        <w:top w:val="none" w:sz="0" w:space="0" w:color="auto"/>
        <w:left w:val="none" w:sz="0" w:space="0" w:color="auto"/>
        <w:bottom w:val="none" w:sz="0" w:space="0" w:color="auto"/>
        <w:right w:val="none" w:sz="0" w:space="0" w:color="auto"/>
      </w:divBdr>
    </w:div>
    <w:div w:id="782194702">
      <w:bodyDiv w:val="1"/>
      <w:marLeft w:val="0"/>
      <w:marRight w:val="0"/>
      <w:marTop w:val="0"/>
      <w:marBottom w:val="0"/>
      <w:divBdr>
        <w:top w:val="none" w:sz="0" w:space="0" w:color="auto"/>
        <w:left w:val="none" w:sz="0" w:space="0" w:color="auto"/>
        <w:bottom w:val="none" w:sz="0" w:space="0" w:color="auto"/>
        <w:right w:val="none" w:sz="0" w:space="0" w:color="auto"/>
      </w:divBdr>
    </w:div>
    <w:div w:id="928582601">
      <w:bodyDiv w:val="1"/>
      <w:marLeft w:val="0"/>
      <w:marRight w:val="0"/>
      <w:marTop w:val="0"/>
      <w:marBottom w:val="0"/>
      <w:divBdr>
        <w:top w:val="none" w:sz="0" w:space="0" w:color="auto"/>
        <w:left w:val="none" w:sz="0" w:space="0" w:color="auto"/>
        <w:bottom w:val="none" w:sz="0" w:space="0" w:color="auto"/>
        <w:right w:val="none" w:sz="0" w:space="0" w:color="auto"/>
      </w:divBdr>
    </w:div>
    <w:div w:id="1083573986">
      <w:bodyDiv w:val="1"/>
      <w:marLeft w:val="0"/>
      <w:marRight w:val="0"/>
      <w:marTop w:val="0"/>
      <w:marBottom w:val="0"/>
      <w:divBdr>
        <w:top w:val="none" w:sz="0" w:space="0" w:color="auto"/>
        <w:left w:val="none" w:sz="0" w:space="0" w:color="auto"/>
        <w:bottom w:val="none" w:sz="0" w:space="0" w:color="auto"/>
        <w:right w:val="none" w:sz="0" w:space="0" w:color="auto"/>
      </w:divBdr>
    </w:div>
    <w:div w:id="1154491686">
      <w:bodyDiv w:val="1"/>
      <w:marLeft w:val="0"/>
      <w:marRight w:val="0"/>
      <w:marTop w:val="0"/>
      <w:marBottom w:val="0"/>
      <w:divBdr>
        <w:top w:val="none" w:sz="0" w:space="0" w:color="auto"/>
        <w:left w:val="none" w:sz="0" w:space="0" w:color="auto"/>
        <w:bottom w:val="none" w:sz="0" w:space="0" w:color="auto"/>
        <w:right w:val="none" w:sz="0" w:space="0" w:color="auto"/>
      </w:divBdr>
    </w:div>
    <w:div w:id="1503932467">
      <w:bodyDiv w:val="1"/>
      <w:marLeft w:val="0"/>
      <w:marRight w:val="0"/>
      <w:marTop w:val="0"/>
      <w:marBottom w:val="0"/>
      <w:divBdr>
        <w:top w:val="none" w:sz="0" w:space="0" w:color="auto"/>
        <w:left w:val="none" w:sz="0" w:space="0" w:color="auto"/>
        <w:bottom w:val="none" w:sz="0" w:space="0" w:color="auto"/>
        <w:right w:val="none" w:sz="0" w:space="0" w:color="auto"/>
      </w:divBdr>
    </w:div>
    <w:div w:id="1605453280">
      <w:bodyDiv w:val="1"/>
      <w:marLeft w:val="0"/>
      <w:marRight w:val="0"/>
      <w:marTop w:val="0"/>
      <w:marBottom w:val="0"/>
      <w:divBdr>
        <w:top w:val="none" w:sz="0" w:space="0" w:color="auto"/>
        <w:left w:val="none" w:sz="0" w:space="0" w:color="auto"/>
        <w:bottom w:val="none" w:sz="0" w:space="0" w:color="auto"/>
        <w:right w:val="none" w:sz="0" w:space="0" w:color="auto"/>
      </w:divBdr>
    </w:div>
    <w:div w:id="1747264411">
      <w:bodyDiv w:val="1"/>
      <w:marLeft w:val="0"/>
      <w:marRight w:val="0"/>
      <w:marTop w:val="0"/>
      <w:marBottom w:val="0"/>
      <w:divBdr>
        <w:top w:val="none" w:sz="0" w:space="0" w:color="auto"/>
        <w:left w:val="none" w:sz="0" w:space="0" w:color="auto"/>
        <w:bottom w:val="none" w:sz="0" w:space="0" w:color="auto"/>
        <w:right w:val="none" w:sz="0" w:space="0" w:color="auto"/>
      </w:divBdr>
    </w:div>
    <w:div w:id="18647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Ranju</dc:creator>
  <cp:keywords/>
  <dc:description/>
  <cp:lastModifiedBy>Ranju</cp:lastModifiedBy>
  <cp:revision>1</cp:revision>
  <dcterms:created xsi:type="dcterms:W3CDTF">2020-05-16T06:17:00Z</dcterms:created>
  <dcterms:modified xsi:type="dcterms:W3CDTF">2020-05-16T06:35:00Z</dcterms:modified>
</cp:coreProperties>
</file>